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44F1" w14:textId="5752A9CE" w:rsidR="00D76ACA" w:rsidRPr="00086E86" w:rsidRDefault="00E62D33">
      <w:pPr>
        <w:pStyle w:val="NormalWeb"/>
        <w:spacing w:line="240" w:lineRule="auto"/>
        <w:jc w:val="both"/>
        <w:rPr>
          <w:rStyle w:val="Fuentedeprrafopredeter1"/>
          <w:rFonts w:ascii="Times New Roman" w:hAnsi="Times New Roman"/>
          <w:b/>
          <w:spacing w:val="-5"/>
          <w:sz w:val="34"/>
          <w:szCs w:val="34"/>
          <w:lang w:eastAsia="ar-SA"/>
        </w:rPr>
      </w:pPr>
      <w:r w:rsidRPr="00086E86">
        <w:rPr>
          <w:rStyle w:val="Fuentedeprrafopredeter1"/>
          <w:rFonts w:ascii="Times New Roman" w:hAnsi="Times New Roman"/>
          <w:b/>
          <w:spacing w:val="-5"/>
          <w:sz w:val="34"/>
          <w:szCs w:val="34"/>
          <w:lang w:eastAsia="ar-SA"/>
        </w:rPr>
        <w:t xml:space="preserve">La Fe </w:t>
      </w:r>
      <w:r w:rsidR="00475090">
        <w:rPr>
          <w:rStyle w:val="Fuentedeprrafopredeter1"/>
          <w:rFonts w:ascii="Times New Roman" w:hAnsi="Times New Roman"/>
          <w:b/>
          <w:spacing w:val="-5"/>
          <w:sz w:val="34"/>
          <w:szCs w:val="34"/>
          <w:lang w:eastAsia="ar-SA"/>
        </w:rPr>
        <w:t xml:space="preserve">es </w:t>
      </w:r>
      <w:r w:rsidR="00EB312C">
        <w:rPr>
          <w:rStyle w:val="Fuentedeprrafopredeter1"/>
          <w:rFonts w:ascii="Times New Roman" w:hAnsi="Times New Roman"/>
          <w:b/>
          <w:spacing w:val="-5"/>
          <w:sz w:val="34"/>
          <w:szCs w:val="34"/>
          <w:lang w:eastAsia="ar-SA"/>
        </w:rPr>
        <w:t>seleccionada para formar parte de la red europea de centros oncológicos integrales</w:t>
      </w:r>
    </w:p>
    <w:p w14:paraId="0F9ACE43" w14:textId="069EB74F" w:rsidR="00E62D33" w:rsidRDefault="00AE1825" w:rsidP="00E62D33">
      <w:pPr>
        <w:pStyle w:val="NormalWeb"/>
        <w:numPr>
          <w:ilvl w:val="0"/>
          <w:numId w:val="7"/>
        </w:numPr>
        <w:spacing w:line="240" w:lineRule="auto"/>
        <w:jc w:val="both"/>
        <w:rPr>
          <w:rFonts w:ascii="Times New Roman" w:hAnsi="Times New Roman"/>
        </w:rPr>
      </w:pPr>
      <w:bookmarkStart w:id="0" w:name="_Hlk144111382"/>
      <w:r>
        <w:rPr>
          <w:rFonts w:ascii="Times New Roman" w:hAnsi="Times New Roman"/>
        </w:rPr>
        <w:t>El objetivo de la red es mejorar la detección, el cribado, el diagnóstico, el tratamiento, la investigación y la formación del personal oncológico</w:t>
      </w:r>
    </w:p>
    <w:p w14:paraId="7B8F4E52" w14:textId="743A9BBA" w:rsidR="00290868" w:rsidRPr="00E62D33" w:rsidRDefault="00290868" w:rsidP="00290868">
      <w:pPr>
        <w:pStyle w:val="NormalWeb"/>
        <w:numPr>
          <w:ilvl w:val="0"/>
          <w:numId w:val="7"/>
        </w:numPr>
        <w:spacing w:line="240" w:lineRule="auto"/>
        <w:jc w:val="both"/>
        <w:rPr>
          <w:rFonts w:ascii="Times New Roman" w:hAnsi="Times New Roman"/>
        </w:rPr>
      </w:pPr>
      <w:r w:rsidRPr="00E62D33">
        <w:rPr>
          <w:rFonts w:ascii="Times New Roman" w:hAnsi="Times New Roman"/>
        </w:rPr>
        <w:t xml:space="preserve">El </w:t>
      </w:r>
      <w:r w:rsidR="00AE1825" w:rsidRPr="00AE1825">
        <w:rPr>
          <w:rFonts w:ascii="Times New Roman" w:hAnsi="Times New Roman"/>
        </w:rPr>
        <w:t>Hospital La Fe forma parte de la Red Europea de Referencia de cáncer pediátrico hemato</w:t>
      </w:r>
      <w:r w:rsidR="00AE1825">
        <w:rPr>
          <w:rFonts w:ascii="Times New Roman" w:hAnsi="Times New Roman"/>
        </w:rPr>
        <w:t>-</w:t>
      </w:r>
      <w:r w:rsidR="00AE1825" w:rsidRPr="00AE1825">
        <w:rPr>
          <w:rFonts w:ascii="Times New Roman" w:hAnsi="Times New Roman"/>
        </w:rPr>
        <w:t>oncológico</w:t>
      </w:r>
    </w:p>
    <w:bookmarkEnd w:id="0"/>
    <w:p w14:paraId="452FB392" w14:textId="7E48B748" w:rsidR="00EB312C" w:rsidRDefault="00E62D33" w:rsidP="00EB312C">
      <w:pPr>
        <w:pStyle w:val="Standard"/>
        <w:jc w:val="both"/>
        <w:rPr>
          <w:rFonts w:ascii="Times New Roman" w:hAnsi="Times New Roman" w:cs="Times New Roman"/>
        </w:rPr>
      </w:pPr>
      <w:r>
        <w:rPr>
          <w:rFonts w:ascii="Times New Roman" w:hAnsi="Times New Roman" w:cs="Times New Roman"/>
          <w:b/>
          <w:bCs/>
        </w:rPr>
        <w:t>València (</w:t>
      </w:r>
      <w:r w:rsidR="004F3770">
        <w:rPr>
          <w:rFonts w:ascii="Times New Roman" w:hAnsi="Times New Roman" w:cs="Times New Roman"/>
          <w:b/>
          <w:bCs/>
        </w:rPr>
        <w:t>09</w:t>
      </w:r>
      <w:r>
        <w:rPr>
          <w:rFonts w:ascii="Times New Roman" w:hAnsi="Times New Roman" w:cs="Times New Roman"/>
          <w:b/>
          <w:bCs/>
        </w:rPr>
        <w:t>.</w:t>
      </w:r>
      <w:r w:rsidR="00D13631">
        <w:rPr>
          <w:rFonts w:ascii="Times New Roman" w:hAnsi="Times New Roman" w:cs="Times New Roman"/>
          <w:b/>
          <w:bCs/>
        </w:rPr>
        <w:t>0</w:t>
      </w:r>
      <w:r w:rsidR="00F21183">
        <w:rPr>
          <w:rFonts w:ascii="Times New Roman" w:hAnsi="Times New Roman" w:cs="Times New Roman"/>
          <w:b/>
          <w:bCs/>
        </w:rPr>
        <w:t>2</w:t>
      </w:r>
      <w:r>
        <w:rPr>
          <w:rFonts w:ascii="Times New Roman" w:hAnsi="Times New Roman" w:cs="Times New Roman"/>
          <w:b/>
          <w:bCs/>
        </w:rPr>
        <w:t>.2</w:t>
      </w:r>
      <w:r w:rsidR="00D13631">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rPr>
        <w:t>El Hospital Universitari i Politècnic La Fe de Val</w:t>
      </w:r>
      <w:r w:rsidR="00D12E3C">
        <w:rPr>
          <w:rFonts w:ascii="Times New Roman" w:hAnsi="Times New Roman" w:cs="Times New Roman"/>
        </w:rPr>
        <w:t>e</w:t>
      </w:r>
      <w:r>
        <w:rPr>
          <w:rFonts w:ascii="Times New Roman" w:hAnsi="Times New Roman" w:cs="Times New Roman"/>
        </w:rPr>
        <w:t>ncia ha</w:t>
      </w:r>
      <w:r w:rsidR="00EB312C" w:rsidRPr="00EB312C">
        <w:rPr>
          <w:rFonts w:ascii="Times New Roman" w:hAnsi="Times New Roman" w:cs="Times New Roman"/>
        </w:rPr>
        <w:t xml:space="preserve"> sido seleccionado como entidad afiliada para formar parte de la Red de Centros Oncológicos Integrales de la Unión Europea, una acción conjunta denominada CraNE</w:t>
      </w:r>
      <w:r w:rsidR="004F3770">
        <w:rPr>
          <w:rFonts w:ascii="Times New Roman" w:hAnsi="Times New Roman" w:cs="Times New Roman"/>
        </w:rPr>
        <w:t>2</w:t>
      </w:r>
      <w:r w:rsidR="00EB312C" w:rsidRPr="00EB312C">
        <w:rPr>
          <w:rFonts w:ascii="Times New Roman" w:hAnsi="Times New Roman" w:cs="Times New Roman"/>
        </w:rPr>
        <w:t xml:space="preserve"> (</w:t>
      </w:r>
      <w:r w:rsidR="00EB312C" w:rsidRPr="00EB312C">
        <w:rPr>
          <w:rFonts w:ascii="Times New Roman" w:hAnsi="Times New Roman" w:cs="Times New Roman"/>
          <w:i/>
          <w:iCs/>
        </w:rPr>
        <w:t>European Network of Comprehensive Cancer Centres</w:t>
      </w:r>
      <w:r w:rsidR="00EB312C" w:rsidRPr="00EB312C">
        <w:rPr>
          <w:rFonts w:ascii="Times New Roman" w:hAnsi="Times New Roman" w:cs="Times New Roman"/>
        </w:rPr>
        <w:t xml:space="preserve">) </w:t>
      </w:r>
      <w:r w:rsidR="00EB312C">
        <w:rPr>
          <w:rFonts w:ascii="Times New Roman" w:hAnsi="Times New Roman" w:cs="Times New Roman"/>
        </w:rPr>
        <w:t xml:space="preserve">financiada a través del programa europeo EU4HEALTH, </w:t>
      </w:r>
      <w:r w:rsidR="00EB312C" w:rsidRPr="00EB312C">
        <w:rPr>
          <w:rFonts w:ascii="Times New Roman" w:hAnsi="Times New Roman" w:cs="Times New Roman"/>
        </w:rPr>
        <w:t>como respuesta a la iniciativa número 5 del Plan Europeo de Lucha Contra el Cáncer, EBCP, por sus siglas en inglés.</w:t>
      </w:r>
    </w:p>
    <w:p w14:paraId="4E702FD5" w14:textId="77777777" w:rsidR="00EB312C" w:rsidRPr="00EB312C" w:rsidRDefault="00EB312C" w:rsidP="00EB312C">
      <w:pPr>
        <w:pStyle w:val="Standard"/>
        <w:jc w:val="both"/>
        <w:rPr>
          <w:rFonts w:ascii="Times New Roman" w:hAnsi="Times New Roman" w:cs="Times New Roman"/>
        </w:rPr>
      </w:pPr>
    </w:p>
    <w:p w14:paraId="65EAD76D" w14:textId="77777777" w:rsidR="00EB312C" w:rsidRDefault="00EB312C" w:rsidP="00EB312C">
      <w:pPr>
        <w:pStyle w:val="Standard"/>
        <w:jc w:val="both"/>
        <w:rPr>
          <w:rFonts w:ascii="Times New Roman" w:hAnsi="Times New Roman" w:cs="Times New Roman"/>
        </w:rPr>
      </w:pPr>
      <w:r w:rsidRPr="00EB312C">
        <w:rPr>
          <w:rFonts w:ascii="Times New Roman" w:hAnsi="Times New Roman" w:cs="Times New Roman"/>
        </w:rPr>
        <w:t xml:space="preserve">El objetivo de la creación de esta red europea de centros oncológicos es mejorar la implantación de la detección precoz, el cribado, el diagnóstico, el tratamiento, el apoyo a los supervivientes del cáncer, la investigación y la formación del personal oncológico con las mayores garantías de calidad y en última instancia garantizar que todos los ciudadanos de la Unión Europea tengan las mismas posibilidades de acceso a la excelencia en el campo de la oncología. </w:t>
      </w:r>
    </w:p>
    <w:p w14:paraId="1A566AC6" w14:textId="77777777" w:rsidR="00EB312C" w:rsidRDefault="00EB312C" w:rsidP="00EB312C">
      <w:pPr>
        <w:pStyle w:val="Standard"/>
        <w:jc w:val="both"/>
        <w:rPr>
          <w:rFonts w:ascii="Times New Roman" w:hAnsi="Times New Roman" w:cs="Times New Roman"/>
        </w:rPr>
      </w:pPr>
    </w:p>
    <w:p w14:paraId="44A7173C" w14:textId="5B54FA4F" w:rsidR="00EB312C" w:rsidRPr="00EB312C" w:rsidRDefault="00EB312C" w:rsidP="00EB312C">
      <w:pPr>
        <w:pStyle w:val="Standard"/>
        <w:jc w:val="both"/>
        <w:rPr>
          <w:rFonts w:ascii="Times New Roman" w:hAnsi="Times New Roman" w:cs="Times New Roman"/>
        </w:rPr>
      </w:pPr>
      <w:r w:rsidRPr="00EB312C">
        <w:rPr>
          <w:rFonts w:ascii="Times New Roman" w:hAnsi="Times New Roman" w:cs="Times New Roman"/>
        </w:rPr>
        <w:t>A través de su participación en CraNE</w:t>
      </w:r>
      <w:r w:rsidR="004F3770">
        <w:rPr>
          <w:rFonts w:ascii="Times New Roman" w:hAnsi="Times New Roman" w:cs="Times New Roman"/>
        </w:rPr>
        <w:t>2</w:t>
      </w:r>
      <w:r w:rsidRPr="00EB312C">
        <w:rPr>
          <w:rFonts w:ascii="Times New Roman" w:hAnsi="Times New Roman" w:cs="Times New Roman"/>
        </w:rPr>
        <w:t>, el Hospital La Fe no solo trabajará para certificarse como centro oncológico integral, sino que también apoyará el proceso de certificación de otros hospitales de la Comunitat Valenciana que decidan optar a dicha certificación.</w:t>
      </w:r>
    </w:p>
    <w:p w14:paraId="18254206" w14:textId="7B8A6219" w:rsidR="00EB312C" w:rsidRDefault="00EB312C" w:rsidP="00EB312C">
      <w:pPr>
        <w:pStyle w:val="Standard"/>
        <w:jc w:val="both"/>
      </w:pPr>
      <w:r w:rsidRPr="00EB312C">
        <w:t xml:space="preserve"> </w:t>
      </w:r>
    </w:p>
    <w:p w14:paraId="32917358" w14:textId="5DAB854A" w:rsidR="00EB312C" w:rsidRPr="00EB312C" w:rsidRDefault="00EB312C" w:rsidP="00EB312C">
      <w:pPr>
        <w:pStyle w:val="Standard"/>
        <w:jc w:val="both"/>
        <w:rPr>
          <w:rFonts w:ascii="Times New Roman" w:hAnsi="Times New Roman" w:cs="Times New Roman"/>
        </w:rPr>
      </w:pPr>
      <w:r w:rsidRPr="00EB312C">
        <w:rPr>
          <w:rFonts w:ascii="Times New Roman" w:hAnsi="Times New Roman" w:cs="Times New Roman"/>
        </w:rPr>
        <w:t>La Fe de Valencia atendió a más de 24.000 pacientes relacionados con el diagnóstico de cáncer en el año 2022, una cifra en constante ascenso. “Hay que señalar que La Fe ofrece atención a pacientes con más de 56 tipos diferentes de neoplasias, lo que evidencia la complejidad de la casuística oncológica que gestionamos”, ha destacado el gerente del departamento de salud Valencia La Fe, el doctor José Luis Poveda.</w:t>
      </w:r>
    </w:p>
    <w:p w14:paraId="2BBB63B1" w14:textId="77777777" w:rsidR="00EB312C" w:rsidRDefault="00EB312C" w:rsidP="00EB312C">
      <w:pPr>
        <w:pStyle w:val="Standard"/>
        <w:jc w:val="both"/>
        <w:rPr>
          <w:rFonts w:ascii="Times New Roman" w:hAnsi="Times New Roman" w:cs="Times New Roman"/>
        </w:rPr>
      </w:pPr>
    </w:p>
    <w:p w14:paraId="1102CC77" w14:textId="6862A75C" w:rsidR="00EB312C" w:rsidRPr="00EB312C" w:rsidRDefault="00EB312C" w:rsidP="00EB312C">
      <w:pPr>
        <w:pStyle w:val="Standard"/>
        <w:jc w:val="both"/>
        <w:rPr>
          <w:rFonts w:ascii="Times New Roman" w:hAnsi="Times New Roman" w:cs="Times New Roman"/>
        </w:rPr>
      </w:pPr>
      <w:r w:rsidRPr="00EB312C">
        <w:rPr>
          <w:rFonts w:ascii="Times New Roman" w:hAnsi="Times New Roman" w:cs="Times New Roman"/>
        </w:rPr>
        <w:t xml:space="preserve">Cerca de la mitad de los pacientes que atiende el Hospital La Fe procede de otros departamentos de salud debido al gran número de unidades y especialidades de referencia a nivel nacional y a nivel de la Comunitat Valenciana. </w:t>
      </w:r>
    </w:p>
    <w:p w14:paraId="5A53C335" w14:textId="77777777" w:rsidR="00EB312C" w:rsidRDefault="00EB312C" w:rsidP="00EB312C">
      <w:pPr>
        <w:pStyle w:val="Standard"/>
        <w:jc w:val="both"/>
        <w:rPr>
          <w:rFonts w:ascii="Times New Roman" w:hAnsi="Times New Roman" w:cs="Times New Roman"/>
        </w:rPr>
      </w:pPr>
    </w:p>
    <w:p w14:paraId="336AAE60" w14:textId="4EEC4D06" w:rsidR="00EB312C" w:rsidRPr="00EB312C" w:rsidRDefault="00EB312C" w:rsidP="00EB312C">
      <w:pPr>
        <w:pStyle w:val="Standard"/>
        <w:jc w:val="both"/>
        <w:rPr>
          <w:rFonts w:ascii="Times New Roman" w:hAnsi="Times New Roman" w:cs="Times New Roman"/>
        </w:rPr>
      </w:pPr>
      <w:r w:rsidRPr="00EB312C">
        <w:rPr>
          <w:rFonts w:ascii="Times New Roman" w:hAnsi="Times New Roman" w:cs="Times New Roman"/>
        </w:rPr>
        <w:t>Así, La Fe es referencia nacional en el tratamiento de enfermedades oncohematológicas, sarcomas en la infancia, tumores renales con afectación vascular, neuroblastoma infantil, sarcomas y otros tumores musculoesqueléticos del adulto, tumores intraoculares y tumores orbitales del adulto, todas ellas unidades de referencia a nivel designadas por el Sistema Nacional de Salud.</w:t>
      </w:r>
    </w:p>
    <w:p w14:paraId="2EB1C8F7" w14:textId="77777777" w:rsidR="00EB312C" w:rsidRDefault="00EB312C" w:rsidP="00EB312C">
      <w:pPr>
        <w:pStyle w:val="Standard"/>
        <w:jc w:val="both"/>
        <w:rPr>
          <w:rFonts w:ascii="Times New Roman" w:hAnsi="Times New Roman" w:cs="Times New Roman"/>
        </w:rPr>
      </w:pPr>
    </w:p>
    <w:p w14:paraId="1EB054BF" w14:textId="7E055C45" w:rsidR="00EB312C" w:rsidRDefault="00EB312C" w:rsidP="00EB312C">
      <w:pPr>
        <w:pStyle w:val="Standard"/>
        <w:jc w:val="both"/>
        <w:rPr>
          <w:rFonts w:ascii="Times New Roman" w:hAnsi="Times New Roman" w:cs="Times New Roman"/>
        </w:rPr>
      </w:pPr>
      <w:r w:rsidRPr="00EB312C">
        <w:rPr>
          <w:rFonts w:ascii="Times New Roman" w:hAnsi="Times New Roman" w:cs="Times New Roman"/>
        </w:rPr>
        <w:t>En el ámbito autonómico, el Hospital La Fe es referente en oncología médica, oncología infantil, unidad de consejo genético, unidad de tumores neuroendocrinos y cirugía oncológica abdominopélvica.</w:t>
      </w:r>
    </w:p>
    <w:p w14:paraId="02F61E9D" w14:textId="77777777" w:rsidR="00EB312C" w:rsidRPr="00EB312C" w:rsidRDefault="00EB312C" w:rsidP="00EB312C">
      <w:pPr>
        <w:pStyle w:val="Standard"/>
        <w:jc w:val="both"/>
        <w:rPr>
          <w:rFonts w:ascii="Times New Roman" w:hAnsi="Times New Roman" w:cs="Times New Roman"/>
        </w:rPr>
      </w:pPr>
    </w:p>
    <w:p w14:paraId="6DAFDBE1" w14:textId="0D6172E1" w:rsidR="00EB312C" w:rsidRPr="00EB312C" w:rsidRDefault="00EB312C" w:rsidP="00EB312C">
      <w:pPr>
        <w:pStyle w:val="Standard"/>
        <w:jc w:val="both"/>
        <w:rPr>
          <w:rFonts w:ascii="Times New Roman" w:hAnsi="Times New Roman" w:cs="Times New Roman"/>
        </w:rPr>
      </w:pPr>
      <w:r w:rsidRPr="00EB312C">
        <w:rPr>
          <w:rFonts w:ascii="Times New Roman" w:hAnsi="Times New Roman" w:cs="Times New Roman"/>
        </w:rPr>
        <w:t>Del mismo modo, el Hospital La Fe forma parte de la Red Europea de Referencia (ERN) de cáncer pediátrico hemato-oncológico</w:t>
      </w:r>
      <w:r>
        <w:rPr>
          <w:rFonts w:ascii="Times New Roman" w:hAnsi="Times New Roman" w:cs="Times New Roman"/>
        </w:rPr>
        <w:t xml:space="preserve"> (PaedCan).</w:t>
      </w:r>
    </w:p>
    <w:p w14:paraId="4A4CC3EE" w14:textId="77777777" w:rsidR="00EB312C" w:rsidRDefault="00EB312C" w:rsidP="00EB312C">
      <w:pPr>
        <w:pStyle w:val="Standard"/>
        <w:jc w:val="both"/>
        <w:rPr>
          <w:rFonts w:ascii="Times New Roman" w:hAnsi="Times New Roman" w:cs="Times New Roman"/>
        </w:rPr>
      </w:pPr>
    </w:p>
    <w:p w14:paraId="0E93454C" w14:textId="271B3131" w:rsidR="00EB312C" w:rsidRPr="00EB312C" w:rsidRDefault="00EB312C" w:rsidP="00EB312C">
      <w:pPr>
        <w:pStyle w:val="Standard"/>
        <w:jc w:val="both"/>
        <w:rPr>
          <w:rFonts w:ascii="Times New Roman" w:hAnsi="Times New Roman" w:cs="Times New Roman"/>
        </w:rPr>
      </w:pPr>
      <w:r w:rsidRPr="00EB312C">
        <w:rPr>
          <w:rFonts w:ascii="Times New Roman" w:hAnsi="Times New Roman" w:cs="Times New Roman"/>
        </w:rPr>
        <w:t xml:space="preserve">El Hospital La Fe cuenta con un circuito rápido oncológico en el que ante una sospecha clínica, los médicos de atención primaria completan una lista de comprobación </w:t>
      </w:r>
      <w:r w:rsidRPr="00EB312C">
        <w:rPr>
          <w:rFonts w:ascii="Times New Roman" w:hAnsi="Times New Roman" w:cs="Times New Roman"/>
          <w:i/>
          <w:iCs/>
        </w:rPr>
        <w:t>(check list</w:t>
      </w:r>
      <w:r w:rsidRPr="00EB312C">
        <w:rPr>
          <w:rFonts w:ascii="Times New Roman" w:hAnsi="Times New Roman" w:cs="Times New Roman"/>
        </w:rPr>
        <w:t xml:space="preserve">) y envían una interconsulta al servicio de "Sospecha Oncológica". Estas interconsultas son recogidas en el buzón de </w:t>
      </w:r>
      <w:r w:rsidR="00FC7018">
        <w:rPr>
          <w:rFonts w:ascii="Times New Roman" w:hAnsi="Times New Roman" w:cs="Times New Roman"/>
        </w:rPr>
        <w:t>i</w:t>
      </w:r>
      <w:r w:rsidRPr="00EB312C">
        <w:rPr>
          <w:rFonts w:ascii="Times New Roman" w:hAnsi="Times New Roman" w:cs="Times New Roman"/>
        </w:rPr>
        <w:t xml:space="preserve">nterconsultas </w:t>
      </w:r>
      <w:r w:rsidR="00FC7018">
        <w:rPr>
          <w:rFonts w:ascii="Times New Roman" w:hAnsi="Times New Roman" w:cs="Times New Roman"/>
        </w:rPr>
        <w:t>e</w:t>
      </w:r>
      <w:r w:rsidRPr="00EB312C">
        <w:rPr>
          <w:rFonts w:ascii="Times New Roman" w:hAnsi="Times New Roman" w:cs="Times New Roman"/>
        </w:rPr>
        <w:t>xterna</w:t>
      </w:r>
      <w:r w:rsidR="00FC7018">
        <w:rPr>
          <w:rFonts w:ascii="Times New Roman" w:hAnsi="Times New Roman" w:cs="Times New Roman"/>
        </w:rPr>
        <w:t xml:space="preserve">s </w:t>
      </w:r>
      <w:r w:rsidRPr="00EB312C">
        <w:rPr>
          <w:rFonts w:ascii="Times New Roman" w:hAnsi="Times New Roman" w:cs="Times New Roman"/>
        </w:rPr>
        <w:t>y revisadas por el servicio de Medicina Interna para entrar en un circuito con el que se ha logrado agilizar la fase diagnóstica y reducir los tiempos en el acceso a los tratamientos, con la consiguiente mejora en la atención a los pacientes.</w:t>
      </w:r>
    </w:p>
    <w:p w14:paraId="42D62025" w14:textId="77777777" w:rsidR="00EB312C" w:rsidRPr="00EB312C" w:rsidRDefault="00EB312C" w:rsidP="00EB312C">
      <w:pPr>
        <w:pStyle w:val="Standard"/>
        <w:jc w:val="both"/>
        <w:rPr>
          <w:rFonts w:ascii="Times New Roman" w:hAnsi="Times New Roman" w:cs="Times New Roman"/>
        </w:rPr>
      </w:pPr>
    </w:p>
    <w:p w14:paraId="50E73880" w14:textId="3692E4FC" w:rsidR="00D76ACA" w:rsidRDefault="00EB312C" w:rsidP="00EB312C">
      <w:pPr>
        <w:pStyle w:val="Standard"/>
        <w:jc w:val="both"/>
        <w:rPr>
          <w:rFonts w:ascii="Times New Roman" w:hAnsi="Times New Roman" w:cs="Times New Roman"/>
        </w:rPr>
      </w:pPr>
      <w:r>
        <w:rPr>
          <w:rFonts w:ascii="Times New Roman" w:hAnsi="Times New Roman" w:cs="Times New Roman"/>
        </w:rPr>
        <w:t>El</w:t>
      </w:r>
      <w:r w:rsidRPr="00EB312C">
        <w:rPr>
          <w:rFonts w:ascii="Times New Roman" w:hAnsi="Times New Roman" w:cs="Times New Roman"/>
        </w:rPr>
        <w:t xml:space="preserve"> Hospital La Fe ha sido seleccionado</w:t>
      </w:r>
      <w:r>
        <w:rPr>
          <w:rFonts w:ascii="Times New Roman" w:hAnsi="Times New Roman" w:cs="Times New Roman"/>
        </w:rPr>
        <w:t xml:space="preserve"> por el Ministerio de Sanidad</w:t>
      </w:r>
      <w:r w:rsidRPr="00EB312C">
        <w:rPr>
          <w:rFonts w:ascii="Times New Roman" w:hAnsi="Times New Roman" w:cs="Times New Roman"/>
        </w:rPr>
        <w:t xml:space="preserve"> junto a</w:t>
      </w:r>
      <w:r>
        <w:rPr>
          <w:rFonts w:ascii="Times New Roman" w:hAnsi="Times New Roman" w:cs="Times New Roman"/>
        </w:rPr>
        <w:t xml:space="preserve"> otros</w:t>
      </w:r>
      <w:r w:rsidRPr="00EB312C">
        <w:rPr>
          <w:rFonts w:ascii="Times New Roman" w:hAnsi="Times New Roman" w:cs="Times New Roman"/>
        </w:rPr>
        <w:t xml:space="preserve"> nueve hospitales españoles</w:t>
      </w:r>
      <w:r>
        <w:rPr>
          <w:rFonts w:ascii="Times New Roman" w:hAnsi="Times New Roman" w:cs="Times New Roman"/>
        </w:rPr>
        <w:t xml:space="preserve"> para formar parte de esta acción conjunta europea. El resto son </w:t>
      </w:r>
      <w:r w:rsidRPr="00EB312C">
        <w:rPr>
          <w:rFonts w:ascii="Times New Roman" w:hAnsi="Times New Roman" w:cs="Times New Roman"/>
        </w:rPr>
        <w:t>La Paz de Madrid, el Clínico Universitario Santiago de Compostela, el Clínico Universitario de Salamanca, Miguel Servet de Zaragoza, Hospital Regional de Málaga, Marqués de Valdecilla de Santander, Universitario de Navarra, Universitario de Donostia y Vall d’Hebr</w:t>
      </w:r>
      <w:r w:rsidR="00FC7018">
        <w:rPr>
          <w:rFonts w:ascii="Times New Roman" w:hAnsi="Times New Roman" w:cs="Times New Roman"/>
        </w:rPr>
        <w:t>o</w:t>
      </w:r>
      <w:r w:rsidRPr="00EB312C">
        <w:rPr>
          <w:rFonts w:ascii="Times New Roman" w:hAnsi="Times New Roman" w:cs="Times New Roman"/>
        </w:rPr>
        <w:t>n</w:t>
      </w:r>
      <w:r>
        <w:rPr>
          <w:rFonts w:ascii="Times New Roman" w:hAnsi="Times New Roman" w:cs="Times New Roman"/>
        </w:rPr>
        <w:t>.</w:t>
      </w:r>
    </w:p>
    <w:p w14:paraId="62F61475" w14:textId="77777777" w:rsidR="00EB312C" w:rsidRDefault="00EB312C" w:rsidP="00EB312C">
      <w:pPr>
        <w:pStyle w:val="Standard"/>
        <w:jc w:val="both"/>
        <w:rPr>
          <w:rFonts w:ascii="Times New Roman" w:hAnsi="Times New Roman" w:cs="Times New Roman"/>
        </w:rPr>
      </w:pPr>
    </w:p>
    <w:p w14:paraId="1CCC23D5" w14:textId="22FFBCCB" w:rsidR="00D76ACA" w:rsidRPr="00500E14" w:rsidRDefault="00D76ACA">
      <w:pPr>
        <w:pStyle w:val="Standard"/>
        <w:jc w:val="both"/>
        <w:rPr>
          <w:rFonts w:ascii="Times New Roman" w:hAnsi="Times New Roman"/>
        </w:rPr>
      </w:pPr>
    </w:p>
    <w:sectPr w:rsidR="00D76ACA" w:rsidRPr="00500E14">
      <w:headerReference w:type="default" r:id="rId7"/>
      <w:footerReference w:type="default" r:id="rId8"/>
      <w:pgSz w:w="11906" w:h="16838"/>
      <w:pgMar w:top="4370" w:right="1695" w:bottom="1474" w:left="2552" w:header="68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05A3" w14:textId="77777777" w:rsidR="003A7F67" w:rsidRDefault="003A7F67">
      <w:r>
        <w:separator/>
      </w:r>
    </w:p>
  </w:endnote>
  <w:endnote w:type="continuationSeparator" w:id="0">
    <w:p w14:paraId="090F31A6" w14:textId="77777777" w:rsidR="003A7F67" w:rsidRDefault="003A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OpenSymbol">
    <w:panose1 w:val="05010000000000000000"/>
    <w:charset w:val="00"/>
    <w:family w:val="auto"/>
    <w:pitch w:val="variable"/>
    <w:sig w:usb0="800000AF" w:usb1="1001ECEA"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0302" w14:textId="77777777" w:rsidR="00175071" w:rsidRDefault="00E62D33">
    <w:pPr>
      <w:pStyle w:val="Piedepgina"/>
      <w:jc w:val="right"/>
    </w:pPr>
    <w:r>
      <w:rPr>
        <w:rFonts w:ascii="Roboto" w:hAnsi="Roboto"/>
        <w:b/>
        <w:bCs/>
        <w:sz w:val="20"/>
        <w:szCs w:val="20"/>
      </w:rPr>
      <w:fldChar w:fldCharType="begin"/>
    </w:r>
    <w:r>
      <w:rPr>
        <w:rFonts w:ascii="Roboto" w:hAnsi="Roboto"/>
        <w:b/>
        <w:bCs/>
        <w:sz w:val="20"/>
        <w:szCs w:val="20"/>
      </w:rPr>
      <w:instrText xml:space="preserve"> PAGE </w:instrText>
    </w:r>
    <w:r>
      <w:rPr>
        <w:rFonts w:ascii="Roboto" w:hAnsi="Roboto"/>
        <w:b/>
        <w:bCs/>
        <w:sz w:val="20"/>
        <w:szCs w:val="20"/>
      </w:rPr>
      <w:fldChar w:fldCharType="separate"/>
    </w:r>
    <w:r>
      <w:rPr>
        <w:rFonts w:ascii="Roboto" w:hAnsi="Roboto"/>
        <w:b/>
        <w:bCs/>
        <w:sz w:val="20"/>
        <w:szCs w:val="20"/>
      </w:rPr>
      <w:t>2</w:t>
    </w:r>
    <w:r>
      <w:rPr>
        <w:rFonts w:ascii="Roboto" w:hAnsi="Roboto"/>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B30A" w14:textId="77777777" w:rsidR="003A7F67" w:rsidRDefault="003A7F67">
      <w:r>
        <w:rPr>
          <w:color w:val="000000"/>
        </w:rPr>
        <w:separator/>
      </w:r>
    </w:p>
  </w:footnote>
  <w:footnote w:type="continuationSeparator" w:id="0">
    <w:p w14:paraId="15CD6B06" w14:textId="77777777" w:rsidR="003A7F67" w:rsidRDefault="003A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1C5C" w14:textId="77777777" w:rsidR="00175071" w:rsidRDefault="00175071">
    <w:pPr>
      <w:pStyle w:val="Heading"/>
      <w:tabs>
        <w:tab w:val="clear" w:pos="4819"/>
        <w:tab w:val="clear" w:pos="9638"/>
        <w:tab w:val="center" w:pos="4252"/>
        <w:tab w:val="right" w:pos="8504"/>
      </w:tabs>
      <w:ind w:left="-1418" w:right="851"/>
      <w:jc w:val="right"/>
    </w:pPr>
  </w:p>
  <w:p w14:paraId="5D0EC49F" w14:textId="77777777" w:rsidR="00175071" w:rsidRDefault="00E62D33">
    <w:pPr>
      <w:pStyle w:val="Heading"/>
    </w:pPr>
    <w:r>
      <w:rPr>
        <w:noProof/>
      </w:rPr>
      <w:drawing>
        <wp:anchor distT="0" distB="0" distL="114300" distR="114300" simplePos="0" relativeHeight="251659264" behindDoc="0" locked="0" layoutInCell="1" allowOverlap="1" wp14:anchorId="1E17ED52" wp14:editId="16F81FDC">
          <wp:simplePos x="0" y="0"/>
          <wp:positionH relativeFrom="margin">
            <wp:align>center</wp:align>
          </wp:positionH>
          <wp:positionV relativeFrom="paragraph">
            <wp:posOffset>430865</wp:posOffset>
          </wp:positionV>
          <wp:extent cx="5948684" cy="965834"/>
          <wp:effectExtent l="0" t="0" r="0" b="0"/>
          <wp:wrapSquare wrapText="largest"/>
          <wp:docPr id="2025928710" name="Imatge4"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8684" cy="9658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A0B"/>
    <w:multiLevelType w:val="multilevel"/>
    <w:tmpl w:val="9F3EAB7C"/>
    <w:styleLink w:val="WWNum2"/>
    <w:lvl w:ilvl="0">
      <w:numFmt w:val="bullet"/>
      <w:lvlText w:val="•"/>
      <w:lvlJc w:val="left"/>
      <w:rPr>
        <w:rFonts w:ascii="Times New Roman" w:eastAsia="Times New Roman" w:hAnsi="Times New Roman" w:cs="Times New Roman"/>
        <w:sz w:val="24"/>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1" w15:restartNumberingAfterBreak="0">
    <w:nsid w:val="15B169F6"/>
    <w:multiLevelType w:val="multilevel"/>
    <w:tmpl w:val="8F84469E"/>
    <w:styleLink w:val="WWNum1"/>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2" w15:restartNumberingAfterBreak="0">
    <w:nsid w:val="27C3253B"/>
    <w:multiLevelType w:val="multilevel"/>
    <w:tmpl w:val="F39081D8"/>
    <w:styleLink w:val="WWNum3"/>
    <w:lvl w:ilvl="0">
      <w:numFmt w:val="bullet"/>
      <w:lvlText w:val="•"/>
      <w:lvlJc w:val="left"/>
      <w:rPr>
        <w:rFonts w:ascii="Times New Roman" w:eastAsia="Times New Roman" w:hAnsi="Times New Roman" w:cs="Times New Roman"/>
        <w:sz w:val="24"/>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3" w15:restartNumberingAfterBreak="0">
    <w:nsid w:val="38A55062"/>
    <w:multiLevelType w:val="hybridMultilevel"/>
    <w:tmpl w:val="2A84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5D3FC0"/>
    <w:multiLevelType w:val="multilevel"/>
    <w:tmpl w:val="D51AC678"/>
    <w:styleLink w:val="WWNum1aa"/>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57ED74CB"/>
    <w:multiLevelType w:val="multilevel"/>
    <w:tmpl w:val="C45C76E8"/>
    <w:styleLink w:val="WWNum1a"/>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6A9F290F"/>
    <w:multiLevelType w:val="multilevel"/>
    <w:tmpl w:val="A2C6FB6E"/>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772746738">
    <w:abstractNumId w:val="6"/>
  </w:num>
  <w:num w:numId="2" w16cid:durableId="1199857046">
    <w:abstractNumId w:val="4"/>
  </w:num>
  <w:num w:numId="3" w16cid:durableId="1487936867">
    <w:abstractNumId w:val="1"/>
  </w:num>
  <w:num w:numId="4" w16cid:durableId="343675768">
    <w:abstractNumId w:val="0"/>
  </w:num>
  <w:num w:numId="5" w16cid:durableId="1742555299">
    <w:abstractNumId w:val="2"/>
  </w:num>
  <w:num w:numId="6" w16cid:durableId="430706130">
    <w:abstractNumId w:val="5"/>
  </w:num>
  <w:num w:numId="7" w16cid:durableId="1052774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CA"/>
    <w:rsid w:val="00086E86"/>
    <w:rsid w:val="000E2DC4"/>
    <w:rsid w:val="000F2F7D"/>
    <w:rsid w:val="00175071"/>
    <w:rsid w:val="001E197E"/>
    <w:rsid w:val="00290868"/>
    <w:rsid w:val="002D19B1"/>
    <w:rsid w:val="00390F87"/>
    <w:rsid w:val="003A7F67"/>
    <w:rsid w:val="004164EC"/>
    <w:rsid w:val="00475090"/>
    <w:rsid w:val="004F3770"/>
    <w:rsid w:val="00500E14"/>
    <w:rsid w:val="00547D2B"/>
    <w:rsid w:val="00636EDA"/>
    <w:rsid w:val="006925A7"/>
    <w:rsid w:val="0071638C"/>
    <w:rsid w:val="00766A57"/>
    <w:rsid w:val="008670E2"/>
    <w:rsid w:val="00974D46"/>
    <w:rsid w:val="009B7EF3"/>
    <w:rsid w:val="00AE1825"/>
    <w:rsid w:val="00AE68C5"/>
    <w:rsid w:val="00B32DC9"/>
    <w:rsid w:val="00C42C8C"/>
    <w:rsid w:val="00CB0B5D"/>
    <w:rsid w:val="00D12E3C"/>
    <w:rsid w:val="00D13631"/>
    <w:rsid w:val="00D16970"/>
    <w:rsid w:val="00D76ACA"/>
    <w:rsid w:val="00E1773C"/>
    <w:rsid w:val="00E62D33"/>
    <w:rsid w:val="00EA174D"/>
    <w:rsid w:val="00EB312C"/>
    <w:rsid w:val="00EB598B"/>
    <w:rsid w:val="00F009A6"/>
    <w:rsid w:val="00F21183"/>
    <w:rsid w:val="00F42D7D"/>
    <w:rsid w:val="00F7357C"/>
    <w:rsid w:val="00F978D2"/>
    <w:rsid w:val="00FC7018"/>
    <w:rsid w:val="00FF2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2E46"/>
  <w15:docId w15:val="{6E1A9F90-7306-0F4B-B4B2-5FFFC8B4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4"/>
        <w:szCs w:val="24"/>
        <w:lang w:val="es-E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pPr>
      <w:spacing w:before="100" w:after="142" w:line="288" w:lineRule="auto"/>
    </w:pPr>
    <w:rPr>
      <w:rFonts w:cs="Times New Roman"/>
    </w:rPr>
  </w:style>
  <w:style w:type="paragraph" w:customStyle="1" w:styleId="Tablanormal1">
    <w:name w:val="Tabla normal1"/>
    <w:pPr>
      <w:widowControl/>
      <w:suppressAutoHyphens/>
      <w:textAlignment w:val="auto"/>
    </w:pPr>
    <w:rPr>
      <w:rFonts w:ascii="Times New Roman" w:eastAsia="Arial Unicode MS" w:hAnsi="Times New Roman" w:cs="Times New Roman"/>
      <w:sz w:val="20"/>
      <w:szCs w:val="20"/>
      <w:lang w:eastAsia="es-ES"/>
    </w:rPr>
  </w:style>
  <w:style w:type="paragraph" w:customStyle="1" w:styleId="Poromisin">
    <w:name w:val="Por omisión"/>
    <w:pPr>
      <w:widowControl/>
      <w:suppressAutoHyphens/>
      <w:textAlignment w:val="auto"/>
    </w:pPr>
    <w:rPr>
      <w:rFonts w:ascii="Helvetica Neue" w:eastAsia="Arial Unicode MS" w:hAnsi="Helvetica Neue" w:cs="Helvetica Neue"/>
      <w:color w:val="000000"/>
      <w:sz w:val="22"/>
      <w:szCs w:val="22"/>
      <w:lang w:eastAsia="es-ES"/>
    </w:rPr>
  </w:style>
  <w:style w:type="paragraph" w:customStyle="1" w:styleId="Tablanormal2">
    <w:name w:val="Tabla normal2"/>
    <w:pPr>
      <w:widowControl/>
      <w:textAlignment w:val="auto"/>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textAlignment w:val="auto"/>
    </w:pPr>
  </w:style>
  <w:style w:type="numbering" w:customStyle="1" w:styleId="Sinlista1">
    <w:name w:val="Sin lista1"/>
    <w:basedOn w:val="Sinlista"/>
    <w:pPr>
      <w:numPr>
        <w:numId w:val="1"/>
      </w:numPr>
    </w:pPr>
  </w:style>
  <w:style w:type="numbering" w:customStyle="1" w:styleId="WWNum1aa">
    <w:name w:val="WWNum1aa"/>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 w:type="numbering" w:customStyle="1" w:styleId="WWNum1a">
    <w:name w:val="WWNum1a"/>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HUPLF-GIBI230</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POVEDA ANDRES</dc:creator>
  <cp:lastModifiedBy>MARTA MANUELA MATEO PORCAR</cp:lastModifiedBy>
  <cp:revision>4</cp:revision>
  <cp:lastPrinted>2021-03-31T17:52:00Z</cp:lastPrinted>
  <dcterms:created xsi:type="dcterms:W3CDTF">2024-02-08T08:25:00Z</dcterms:created>
  <dcterms:modified xsi:type="dcterms:W3CDTF">2024-02-09T08:11:00Z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